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36FDA">
      <w:pPr>
        <w:keepNext w:val="0"/>
        <w:keepLines w:val="0"/>
        <w:pageBreakBefore w:val="0"/>
        <w:kinsoku/>
        <w:wordWrap/>
        <w:overflowPunct/>
        <w:topLinePunct w:val="0"/>
        <w:bidi w:val="0"/>
        <w:adjustRightInd/>
        <w:spacing w:line="560" w:lineRule="exact"/>
        <w:textAlignment w:val="auto"/>
        <w:rPr>
          <w:rFonts w:hint="default" w:ascii="Times New Roman Regular" w:hAnsi="Times New Roman Regular" w:eastAsia="黑体" w:cs="Times New Roman Regular"/>
          <w:b w:val="0"/>
          <w:bCs w:val="0"/>
          <w:sz w:val="32"/>
          <w:szCs w:val="32"/>
          <w:lang w:val="en-US" w:eastAsia="zh-CN"/>
        </w:rPr>
      </w:pPr>
      <w:r>
        <w:rPr>
          <w:rFonts w:hint="default" w:ascii="Times New Roman Regular" w:hAnsi="Times New Roman Regular" w:eastAsia="黑体" w:cs="Times New Roman Regular"/>
          <w:b w:val="0"/>
          <w:bCs w:val="0"/>
          <w:sz w:val="32"/>
          <w:szCs w:val="32"/>
          <w:lang w:val="en-US" w:eastAsia="zh-CN"/>
        </w:rPr>
        <w:t>附件2</w:t>
      </w:r>
    </w:p>
    <w:p w14:paraId="3ECA3878">
      <w:pPr>
        <w:keepNext w:val="0"/>
        <w:keepLines w:val="0"/>
        <w:pageBreakBefore w:val="0"/>
        <w:kinsoku/>
        <w:wordWrap/>
        <w:overflowPunct/>
        <w:topLinePunct w:val="0"/>
        <w:bidi w:val="0"/>
        <w:adjustRightInd/>
        <w:spacing w:line="560" w:lineRule="exact"/>
        <w:textAlignment w:val="auto"/>
        <w:rPr>
          <w:rFonts w:hint="default" w:ascii="Times New Roman Regular" w:hAnsi="Times New Roman Regular" w:eastAsia="黑体" w:cs="Times New Roman Regular"/>
          <w:b w:val="0"/>
          <w:bCs w:val="0"/>
          <w:sz w:val="32"/>
          <w:szCs w:val="32"/>
          <w:lang w:val="en-US" w:eastAsia="zh-CN"/>
        </w:rPr>
      </w:pPr>
    </w:p>
    <w:p w14:paraId="053BEE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方正小标宋简体" w:cs="Times New Roman Regular"/>
          <w:b w:val="0"/>
          <w:bCs w:val="0"/>
          <w:sz w:val="44"/>
          <w:szCs w:val="44"/>
        </w:rPr>
      </w:pPr>
      <w:r>
        <w:rPr>
          <w:rFonts w:hint="default" w:ascii="Times New Roman Regular" w:hAnsi="Times New Roman Regular" w:eastAsia="方正小标宋简体" w:cs="Times New Roman Regular"/>
          <w:b w:val="0"/>
          <w:bCs w:val="0"/>
          <w:sz w:val="44"/>
          <w:szCs w:val="44"/>
        </w:rPr>
        <w:t>第十四届中国创新创业大赛颠覆性技术</w:t>
      </w:r>
    </w:p>
    <w:p w14:paraId="21A1E8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方正小标宋简体" w:cs="Times New Roman Regular"/>
          <w:b w:val="0"/>
          <w:bCs w:val="0"/>
          <w:sz w:val="44"/>
          <w:szCs w:val="44"/>
        </w:rPr>
      </w:pPr>
      <w:r>
        <w:rPr>
          <w:rFonts w:hint="default" w:ascii="Times New Roman Regular" w:hAnsi="Times New Roman Regular" w:eastAsia="方正小标宋简体" w:cs="Times New Roman Regular"/>
          <w:b w:val="0"/>
          <w:bCs w:val="0"/>
          <w:sz w:val="44"/>
          <w:szCs w:val="44"/>
        </w:rPr>
        <w:t>创新大赛</w:t>
      </w:r>
      <w:r>
        <w:rPr>
          <w:rFonts w:hint="default" w:ascii="Times New Roman Regular" w:hAnsi="Times New Roman Regular" w:eastAsia="方正小标宋简体" w:cs="Times New Roman Regular"/>
          <w:b w:val="0"/>
          <w:bCs w:val="0"/>
          <w:sz w:val="44"/>
          <w:szCs w:val="44"/>
          <w:lang w:eastAsia="zh-CN"/>
        </w:rPr>
        <w:t>（未来信息领域赛）</w:t>
      </w:r>
      <w:r>
        <w:rPr>
          <w:rFonts w:hint="default" w:ascii="Times New Roman Regular" w:hAnsi="Times New Roman Regular" w:eastAsia="方正小标宋简体" w:cs="Times New Roman Regular"/>
          <w:b w:val="0"/>
          <w:bCs w:val="0"/>
          <w:sz w:val="44"/>
          <w:szCs w:val="44"/>
          <w:lang w:val="en-US" w:eastAsia="zh-CN"/>
        </w:rPr>
        <w:t>组织</w:t>
      </w:r>
      <w:r>
        <w:rPr>
          <w:rFonts w:hint="default" w:ascii="Times New Roman Regular" w:hAnsi="Times New Roman Regular" w:eastAsia="方正小标宋简体" w:cs="Times New Roman Regular"/>
          <w:b w:val="0"/>
          <w:bCs w:val="0"/>
          <w:sz w:val="44"/>
          <w:szCs w:val="44"/>
        </w:rPr>
        <w:t>方案</w:t>
      </w:r>
    </w:p>
    <w:p w14:paraId="337E0FE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黑体" w:cs="Times New Roman Regular"/>
          <w:b w:val="0"/>
          <w:bCs w:val="0"/>
          <w:sz w:val="32"/>
          <w:szCs w:val="32"/>
        </w:rPr>
      </w:pPr>
    </w:p>
    <w:p w14:paraId="60CCAC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根据工业和信息化部火炬中心《关于举办第十</w:t>
      </w:r>
      <w:r>
        <w:rPr>
          <w:rFonts w:hint="default" w:ascii="Times New Roman Regular" w:hAnsi="Times New Roman Regular" w:eastAsia="仿宋_GB2312" w:cs="Times New Roman Regular"/>
          <w:b w:val="0"/>
          <w:bCs w:val="0"/>
          <w:sz w:val="32"/>
          <w:szCs w:val="32"/>
          <w:lang w:val="en-US" w:eastAsia="zh-CN"/>
        </w:rPr>
        <w:t>四</w:t>
      </w:r>
      <w:r>
        <w:rPr>
          <w:rFonts w:hint="default" w:ascii="Times New Roman Regular" w:hAnsi="Times New Roman Regular" w:eastAsia="仿宋_GB2312" w:cs="Times New Roman Regular"/>
          <w:b w:val="0"/>
          <w:bCs w:val="0"/>
          <w:sz w:val="32"/>
          <w:szCs w:val="32"/>
        </w:rPr>
        <w:t>届中国创新创业大赛的通知》要求，制定第十四届中国创新创业大赛颠覆性技术创新大赛（未来信息领域赛）</w:t>
      </w:r>
      <w:r>
        <w:rPr>
          <w:rFonts w:hint="default" w:ascii="Times New Roman Regular" w:hAnsi="Times New Roman Regular" w:eastAsia="仿宋_GB2312" w:cs="Times New Roman Regular"/>
          <w:b w:val="0"/>
          <w:bCs w:val="0"/>
          <w:sz w:val="32"/>
          <w:szCs w:val="32"/>
          <w:lang w:val="en-US" w:eastAsia="zh-CN"/>
        </w:rPr>
        <w:t>方案</w:t>
      </w:r>
      <w:r>
        <w:rPr>
          <w:rFonts w:hint="default" w:ascii="Times New Roman Regular" w:hAnsi="Times New Roman Regular" w:eastAsia="仿宋_GB2312" w:cs="Times New Roman Regular"/>
          <w:b w:val="0"/>
          <w:bCs w:val="0"/>
          <w:sz w:val="32"/>
          <w:szCs w:val="32"/>
        </w:rPr>
        <w:t>。</w:t>
      </w:r>
    </w:p>
    <w:p w14:paraId="4B6EE6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黑体" w:cs="Times New Roman Regular"/>
          <w:b w:val="0"/>
          <w:bCs w:val="0"/>
          <w:sz w:val="32"/>
          <w:szCs w:val="32"/>
          <w:lang w:val="en-US" w:eastAsia="zh-CN"/>
        </w:rPr>
      </w:pPr>
      <w:r>
        <w:rPr>
          <w:rFonts w:hint="default" w:ascii="Times New Roman Regular" w:hAnsi="Times New Roman Regular" w:eastAsia="黑体" w:cs="Times New Roman Regular"/>
          <w:b w:val="0"/>
          <w:bCs w:val="0"/>
          <w:sz w:val="32"/>
          <w:szCs w:val="32"/>
        </w:rPr>
        <w:t>一、</w:t>
      </w:r>
      <w:r>
        <w:rPr>
          <w:rFonts w:hint="default" w:ascii="Times New Roman Regular" w:hAnsi="Times New Roman Regular" w:eastAsia="黑体" w:cs="Times New Roman Regular"/>
          <w:b w:val="0"/>
          <w:bCs w:val="0"/>
          <w:sz w:val="32"/>
          <w:szCs w:val="32"/>
          <w:lang w:val="en-US" w:eastAsia="zh-CN"/>
        </w:rPr>
        <w:t>指导思想</w:t>
      </w:r>
    </w:p>
    <w:p w14:paraId="047A66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深入学习贯彻习近平总书记</w:t>
      </w:r>
      <w:r>
        <w:rPr>
          <w:rFonts w:hint="default" w:ascii="Times New Roman Regular" w:hAnsi="Times New Roman Regular" w:eastAsia="仿宋_GB2312" w:cs="Times New Roman Regular"/>
          <w:b w:val="0"/>
          <w:bCs w:val="0"/>
          <w:sz w:val="32"/>
          <w:szCs w:val="32"/>
          <w:lang w:eastAsia="zh-CN"/>
        </w:rPr>
        <w:t>“</w:t>
      </w:r>
      <w:r>
        <w:rPr>
          <w:rFonts w:hint="default" w:ascii="Times New Roman Regular" w:hAnsi="Times New Roman Regular" w:eastAsia="仿宋_GB2312" w:cs="Times New Roman Regular"/>
          <w:b w:val="0"/>
          <w:bCs w:val="0"/>
          <w:sz w:val="32"/>
          <w:szCs w:val="32"/>
        </w:rPr>
        <w:t>要以科技创新推动产业创新，特别是以颠覆性技术和前沿技术催生新产业、新模式、新动能，发展新质生产力</w:t>
      </w:r>
      <w:r>
        <w:rPr>
          <w:rFonts w:hint="default" w:ascii="Times New Roman Regular" w:hAnsi="Times New Roman Regular" w:eastAsia="仿宋_GB2312" w:cs="Times New Roman Regular"/>
          <w:b w:val="0"/>
          <w:bCs w:val="0"/>
          <w:sz w:val="32"/>
          <w:szCs w:val="32"/>
          <w:lang w:eastAsia="zh-CN"/>
        </w:rPr>
        <w:t>”</w:t>
      </w:r>
      <w:r>
        <w:rPr>
          <w:rFonts w:hint="default" w:ascii="Times New Roman Regular" w:hAnsi="Times New Roman Regular" w:eastAsia="仿宋_GB2312" w:cs="Times New Roman Regular"/>
          <w:b w:val="0"/>
          <w:bCs w:val="0"/>
          <w:sz w:val="32"/>
          <w:szCs w:val="32"/>
        </w:rPr>
        <w:t>的重要讲话精神，贯彻落实党的二十届三中全会和全国科技大会精神，深入实施创新驱动发展战略，把颠覆性技术创新大赛作为落实《工业和信息化部等七部门关于推动未来产业创新发展的实施意见》</w:t>
      </w:r>
      <w:r>
        <w:rPr>
          <w:rFonts w:hint="default" w:ascii="Times New Roman Regular" w:hAnsi="Times New Roman Regular" w:eastAsia="仿宋_GB2312" w:cs="Times New Roman Regular"/>
          <w:b w:val="0"/>
          <w:bCs w:val="0"/>
          <w:sz w:val="32"/>
          <w:szCs w:val="32"/>
          <w:lang w:eastAsia="zh-CN"/>
        </w:rPr>
        <w:t>（</w:t>
      </w:r>
      <w:r>
        <w:rPr>
          <w:rFonts w:hint="default" w:ascii="Times New Roman Regular" w:hAnsi="Times New Roman Regular" w:eastAsia="仿宋_GB2312" w:cs="Times New Roman Regular"/>
          <w:b w:val="0"/>
          <w:bCs w:val="0"/>
          <w:sz w:val="32"/>
          <w:szCs w:val="32"/>
        </w:rPr>
        <w:t>工信部联科〔2024〕12号</w:t>
      </w:r>
      <w:r>
        <w:rPr>
          <w:rFonts w:hint="default" w:ascii="Times New Roman Regular" w:hAnsi="Times New Roman Regular" w:eastAsia="仿宋_GB2312" w:cs="Times New Roman Regular"/>
          <w:b w:val="0"/>
          <w:bCs w:val="0"/>
          <w:sz w:val="32"/>
          <w:szCs w:val="32"/>
          <w:lang w:eastAsia="zh-CN"/>
        </w:rPr>
        <w:t>）</w:t>
      </w:r>
      <w:r>
        <w:rPr>
          <w:rFonts w:hint="default" w:ascii="Times New Roman Regular" w:hAnsi="Times New Roman Regular" w:eastAsia="仿宋_GB2312" w:cs="Times New Roman Regular"/>
          <w:b w:val="0"/>
          <w:bCs w:val="0"/>
          <w:sz w:val="32"/>
          <w:szCs w:val="32"/>
        </w:rPr>
        <w:t>的重要抓手，强化颠覆性技术源头供给，促进颠覆性技术成果转化，前瞻布局未来产业，加快发展新质生产力。</w:t>
      </w:r>
    </w:p>
    <w:p w14:paraId="5CDA6C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黑体" w:cs="Times New Roman Regular"/>
          <w:b w:val="0"/>
          <w:bCs w:val="0"/>
          <w:sz w:val="32"/>
          <w:szCs w:val="32"/>
          <w:lang w:val="en-US" w:eastAsia="zh-CN"/>
        </w:rPr>
      </w:pPr>
      <w:r>
        <w:rPr>
          <w:rFonts w:hint="default" w:ascii="Times New Roman Regular" w:hAnsi="Times New Roman Regular" w:eastAsia="黑体" w:cs="Times New Roman Regular"/>
          <w:b w:val="0"/>
          <w:bCs w:val="0"/>
          <w:sz w:val="32"/>
          <w:szCs w:val="32"/>
        </w:rPr>
        <w:t>二、</w:t>
      </w:r>
      <w:r>
        <w:rPr>
          <w:rFonts w:hint="default" w:ascii="Times New Roman Regular" w:hAnsi="Times New Roman Regular" w:eastAsia="黑体" w:cs="Times New Roman Regular"/>
          <w:b w:val="0"/>
          <w:bCs w:val="0"/>
          <w:sz w:val="32"/>
          <w:szCs w:val="32"/>
          <w:lang w:val="en-US" w:eastAsia="zh-CN"/>
        </w:rPr>
        <w:t>赛事安排</w:t>
      </w:r>
    </w:p>
    <w:p w14:paraId="20425F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未来信息领域赛采用“公开海选”方式，面向社会公开征集具有颠覆性技术苗头的项目参赛，通过层层筛选和项目比拼，优胜项目择优进入决赛。符合参赛条件的单位统一登录中国创新创业大赛网站（http://www.cxcyds.com）—专业赛事—颠覆性技术创新大赛入口报名参赛。同一参赛单位（大专院校除外）仅可报名1个项目参赛；大专院校报名项目总数量不超过3个。比赛不向参赛单位收取任何费用。</w:t>
      </w:r>
    </w:p>
    <w:p w14:paraId="707F38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黑体" w:cs="Times New Roman Regular"/>
          <w:b w:val="0"/>
          <w:bCs w:val="0"/>
          <w:sz w:val="32"/>
          <w:szCs w:val="32"/>
          <w:lang w:val="en-US" w:eastAsia="zh-CN"/>
        </w:rPr>
      </w:pPr>
      <w:r>
        <w:rPr>
          <w:rFonts w:hint="default" w:ascii="Times New Roman Regular" w:hAnsi="Times New Roman Regular" w:eastAsia="黑体" w:cs="Times New Roman Regular"/>
          <w:b w:val="0"/>
          <w:bCs w:val="0"/>
          <w:sz w:val="32"/>
          <w:szCs w:val="32"/>
        </w:rPr>
        <w:t>三、</w:t>
      </w:r>
      <w:r>
        <w:rPr>
          <w:rFonts w:hint="default" w:ascii="Times New Roman Regular" w:hAnsi="Times New Roman Regular" w:eastAsia="黑体" w:cs="Times New Roman Regular"/>
          <w:b w:val="0"/>
          <w:bCs w:val="0"/>
          <w:sz w:val="32"/>
          <w:szCs w:val="32"/>
          <w:lang w:val="en-US" w:eastAsia="zh-CN"/>
        </w:rPr>
        <w:t>组织机构</w:t>
      </w:r>
    </w:p>
    <w:p w14:paraId="005405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楷体" w:cs="Times New Roman Regular"/>
          <w:b w:val="0"/>
          <w:bCs w:val="0"/>
          <w:sz w:val="32"/>
          <w:szCs w:val="32"/>
        </w:rPr>
        <w:t>主办单位</w:t>
      </w:r>
      <w:r>
        <w:rPr>
          <w:rFonts w:hint="default" w:ascii="Times New Roman Regular" w:hAnsi="Times New Roman Regular" w:eastAsia="楷体" w:cs="Times New Roman Regular"/>
          <w:b w:val="0"/>
          <w:bCs w:val="0"/>
          <w:sz w:val="32"/>
          <w:szCs w:val="32"/>
          <w:lang w:eastAsia="zh-CN"/>
        </w:rPr>
        <w:t>：</w:t>
      </w:r>
      <w:r>
        <w:rPr>
          <w:rFonts w:hint="default" w:ascii="Times New Roman Regular" w:hAnsi="Times New Roman Regular" w:eastAsia="仿宋_GB2312" w:cs="Times New Roman Regular"/>
          <w:b w:val="0"/>
          <w:bCs w:val="0"/>
          <w:sz w:val="32"/>
          <w:szCs w:val="32"/>
        </w:rPr>
        <w:t>工业和信息化部火炬高技术产业开发中心</w:t>
      </w:r>
    </w:p>
    <w:p w14:paraId="6DDB5E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楷体" w:cs="Times New Roman Regular"/>
          <w:b w:val="0"/>
          <w:bCs w:val="0"/>
          <w:sz w:val="32"/>
          <w:szCs w:val="32"/>
        </w:rPr>
        <w:t>承办单位</w:t>
      </w:r>
      <w:r>
        <w:rPr>
          <w:rFonts w:hint="default" w:ascii="Times New Roman Regular" w:hAnsi="Times New Roman Regular" w:eastAsia="楷体" w:cs="Times New Roman Regular"/>
          <w:b w:val="0"/>
          <w:bCs w:val="0"/>
          <w:sz w:val="32"/>
          <w:szCs w:val="32"/>
          <w:lang w:eastAsia="zh-CN"/>
        </w:rPr>
        <w:t>：</w:t>
      </w:r>
      <w:r>
        <w:rPr>
          <w:rFonts w:hint="default" w:ascii="Times New Roman Regular" w:hAnsi="Times New Roman Regular" w:eastAsia="仿宋_GB2312" w:cs="Times New Roman Regular"/>
          <w:b w:val="0"/>
          <w:bCs w:val="0"/>
          <w:sz w:val="32"/>
          <w:szCs w:val="32"/>
        </w:rPr>
        <w:t>西安高新技术产业开发区管理委员会</w:t>
      </w:r>
    </w:p>
    <w:p w14:paraId="0415476B">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中</w:t>
      </w:r>
      <w:bookmarkStart w:id="0" w:name="_GoBack"/>
      <w:bookmarkEnd w:id="0"/>
      <w:r>
        <w:rPr>
          <w:rFonts w:hint="default" w:ascii="Times New Roman Regular" w:hAnsi="Times New Roman Regular" w:eastAsia="仿宋_GB2312" w:cs="Times New Roman Regular"/>
          <w:b w:val="0"/>
          <w:bCs w:val="0"/>
          <w:sz w:val="32"/>
          <w:szCs w:val="32"/>
        </w:rPr>
        <w:t>电科资产经营有限公司</w:t>
      </w:r>
    </w:p>
    <w:p w14:paraId="4D69F9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楷体" w:cs="Times New Roman Regular"/>
          <w:b w:val="0"/>
          <w:bCs w:val="0"/>
          <w:sz w:val="32"/>
          <w:szCs w:val="32"/>
        </w:rPr>
        <w:t>协办单位</w:t>
      </w:r>
      <w:r>
        <w:rPr>
          <w:rFonts w:hint="default" w:ascii="Times New Roman Regular" w:hAnsi="Times New Roman Regular" w:eastAsia="楷体" w:cs="Times New Roman Regular"/>
          <w:b w:val="0"/>
          <w:bCs w:val="0"/>
          <w:sz w:val="32"/>
          <w:szCs w:val="32"/>
          <w:lang w:eastAsia="zh-CN"/>
        </w:rPr>
        <w:t>：</w:t>
      </w:r>
      <w:r>
        <w:rPr>
          <w:rFonts w:hint="default" w:ascii="Times New Roman Regular" w:hAnsi="Times New Roman Regular" w:eastAsia="仿宋_GB2312" w:cs="Times New Roman Regular"/>
          <w:b w:val="0"/>
          <w:bCs w:val="0"/>
          <w:sz w:val="32"/>
          <w:szCs w:val="32"/>
        </w:rPr>
        <w:t>普天科创实业有限公司</w:t>
      </w:r>
    </w:p>
    <w:p w14:paraId="7EEF5905">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北京普天电子城科技孵化器有限公司</w:t>
      </w:r>
    </w:p>
    <w:p w14:paraId="3EB611C9">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西安海康威视数字技术有限公司</w:t>
      </w:r>
    </w:p>
    <w:p w14:paraId="2ED294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楷体" w:cs="Times New Roman Regular"/>
          <w:b w:val="0"/>
          <w:bCs w:val="0"/>
          <w:sz w:val="32"/>
          <w:szCs w:val="32"/>
        </w:rPr>
        <w:t>支持单位</w:t>
      </w:r>
      <w:r>
        <w:rPr>
          <w:rFonts w:hint="default" w:ascii="Times New Roman Regular" w:hAnsi="Times New Roman Regular" w:eastAsia="楷体" w:cs="Times New Roman Regular"/>
          <w:b w:val="0"/>
          <w:bCs w:val="0"/>
          <w:sz w:val="32"/>
          <w:szCs w:val="32"/>
          <w:lang w:eastAsia="zh-CN"/>
        </w:rPr>
        <w:t>：</w:t>
      </w:r>
      <w:r>
        <w:rPr>
          <w:rFonts w:hint="default" w:ascii="Times New Roman Regular" w:hAnsi="Times New Roman Regular" w:eastAsia="仿宋_GB2312" w:cs="Times New Roman Regular"/>
          <w:b w:val="0"/>
          <w:bCs w:val="0"/>
          <w:sz w:val="32"/>
          <w:szCs w:val="32"/>
        </w:rPr>
        <w:t>新华社中国经济信息社</w:t>
      </w:r>
    </w:p>
    <w:p w14:paraId="3832DDC6">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Regular" w:hAnsi="Times New Roman Regular" w:eastAsia="仿宋_GB2312" w:cs="Times New Roman Regular"/>
          <w:b w:val="0"/>
          <w:bCs w:val="0"/>
          <w:sz w:val="32"/>
          <w:szCs w:val="32"/>
          <w:lang w:val="en-US" w:eastAsia="zh-CN"/>
        </w:rPr>
      </w:pPr>
      <w:r>
        <w:rPr>
          <w:rFonts w:hint="default" w:ascii="Times New Roman Regular" w:hAnsi="Times New Roman Regular" w:eastAsia="仿宋_GB2312" w:cs="Times New Roman Regular"/>
          <w:b w:val="0"/>
          <w:bCs w:val="0"/>
          <w:sz w:val="32"/>
          <w:szCs w:val="32"/>
          <w:lang w:val="en-US" w:eastAsia="zh-CN"/>
        </w:rPr>
        <w:t>交通银行股份有限公司</w:t>
      </w:r>
    </w:p>
    <w:p w14:paraId="75E603F2">
      <w:pPr>
        <w:snapToGrid w:val="0"/>
        <w:spacing w:line="560" w:lineRule="exact"/>
        <w:ind w:firstLine="2240" w:firstLineChars="700"/>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京津冀国家技术创新中心</w:t>
      </w:r>
    </w:p>
    <w:p w14:paraId="6B7A726B">
      <w:pPr>
        <w:snapToGrid w:val="0"/>
        <w:spacing w:line="560" w:lineRule="exact"/>
        <w:ind w:firstLine="2240" w:firstLineChars="700"/>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sz w:val="32"/>
          <w:szCs w:val="32"/>
          <w:lang w:val="en-US" w:eastAsia="zh-CN"/>
        </w:rPr>
        <w:t>中科创星科技投资有限公司</w:t>
      </w:r>
    </w:p>
    <w:p w14:paraId="2E966B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黑体" w:cs="Times New Roman Regular"/>
          <w:b w:val="0"/>
          <w:bCs w:val="0"/>
          <w:sz w:val="32"/>
          <w:szCs w:val="32"/>
          <w:lang w:val="en-US" w:eastAsia="zh-CN"/>
        </w:rPr>
      </w:pPr>
      <w:r>
        <w:rPr>
          <w:rFonts w:hint="default" w:ascii="Times New Roman Regular" w:hAnsi="Times New Roman Regular" w:eastAsia="黑体" w:cs="Times New Roman Regular"/>
          <w:b w:val="0"/>
          <w:bCs w:val="0"/>
          <w:sz w:val="32"/>
          <w:szCs w:val="32"/>
        </w:rPr>
        <w:t>四、</w:t>
      </w:r>
      <w:r>
        <w:rPr>
          <w:rFonts w:hint="default" w:ascii="Times New Roman Regular" w:hAnsi="Times New Roman Regular" w:eastAsia="黑体" w:cs="Times New Roman Regular"/>
          <w:b w:val="0"/>
          <w:bCs w:val="0"/>
          <w:sz w:val="32"/>
          <w:szCs w:val="32"/>
          <w:lang w:val="en-US" w:eastAsia="zh-CN"/>
        </w:rPr>
        <w:t>参赛要求</w:t>
      </w:r>
    </w:p>
    <w:p w14:paraId="472DA5F7">
      <w:pPr>
        <w:keepNext w:val="0"/>
        <w:keepLines w:val="0"/>
        <w:pageBreakBefore w:val="0"/>
        <w:widowControl/>
        <w:suppressLineNumbers w:val="0"/>
        <w:kinsoku/>
        <w:wordWrap/>
        <w:overflowPunct/>
        <w:topLinePunct w:val="0"/>
        <w:bidi w:val="0"/>
        <w:adjustRightInd/>
        <w:spacing w:line="560" w:lineRule="exact"/>
        <w:ind w:firstLine="640" w:firstLineChars="200"/>
        <w:jc w:val="left"/>
        <w:textAlignment w:val="auto"/>
        <w:rPr>
          <w:rFonts w:hint="default" w:ascii="Times New Roman Regular" w:hAnsi="Times New Roman Regular" w:eastAsia="楷体" w:cs="Times New Roman Regular"/>
          <w:b w:val="0"/>
          <w:bCs w:val="0"/>
          <w:color w:val="000000"/>
          <w:kern w:val="0"/>
          <w:sz w:val="32"/>
          <w:szCs w:val="32"/>
          <w:lang w:val="en-US" w:eastAsia="zh-CN" w:bidi="ar"/>
        </w:rPr>
      </w:pPr>
      <w:r>
        <w:rPr>
          <w:rFonts w:hint="default" w:ascii="Times New Roman Regular" w:hAnsi="Times New Roman Regular" w:eastAsia="楷体" w:cs="Times New Roman Regular"/>
          <w:b w:val="0"/>
          <w:bCs w:val="0"/>
          <w:color w:val="000000"/>
          <w:kern w:val="0"/>
          <w:sz w:val="32"/>
          <w:szCs w:val="32"/>
          <w:lang w:val="en-US" w:eastAsia="zh-CN" w:bidi="ar"/>
        </w:rPr>
        <w:t>（一）参赛单位要求</w:t>
      </w:r>
    </w:p>
    <w:p w14:paraId="6775FB92">
      <w:pPr>
        <w:keepNext w:val="0"/>
        <w:keepLines w:val="0"/>
        <w:pageBreakBefore w:val="0"/>
        <w:widowControl/>
        <w:suppressLineNumbers w:val="0"/>
        <w:kinsoku/>
        <w:wordWrap/>
        <w:overflowPunct/>
        <w:topLinePunct w:val="0"/>
        <w:bidi w:val="0"/>
        <w:adjustRightInd/>
        <w:spacing w:line="560" w:lineRule="exact"/>
        <w:ind w:firstLine="640" w:firstLineChars="200"/>
        <w:jc w:val="left"/>
        <w:textAlignment w:val="auto"/>
        <w:rPr>
          <w:rFonts w:hint="default" w:ascii="Times New Roman Regular" w:hAnsi="Times New Roman Regular" w:eastAsia="仿宋_GB2312" w:cs="Times New Roman Regular"/>
          <w:b w:val="0"/>
          <w:bCs w:val="0"/>
          <w:color w:val="000000"/>
          <w:kern w:val="0"/>
          <w:sz w:val="32"/>
          <w:szCs w:val="32"/>
          <w:lang w:val="en-US" w:eastAsia="zh-CN" w:bidi="ar"/>
        </w:rPr>
      </w:pPr>
      <w:r>
        <w:rPr>
          <w:rFonts w:hint="default" w:ascii="Times New Roman Regular" w:hAnsi="Times New Roman Regular" w:eastAsia="仿宋_GB2312" w:cs="Times New Roman Regular"/>
          <w:b w:val="0"/>
          <w:bCs w:val="0"/>
          <w:sz w:val="32"/>
          <w:szCs w:val="32"/>
        </w:rPr>
        <w:t>参赛单位应是具有独立法人资格的企事业单位等，经营规范、社会信誉良好、无知识产权纠纷，且具有较强的创新能力和一定的项目实施条件。</w:t>
      </w:r>
    </w:p>
    <w:p w14:paraId="24BAE44E">
      <w:pPr>
        <w:keepNext w:val="0"/>
        <w:keepLines w:val="0"/>
        <w:pageBreakBefore w:val="0"/>
        <w:widowControl/>
        <w:suppressLineNumbers w:val="0"/>
        <w:kinsoku/>
        <w:wordWrap/>
        <w:overflowPunct/>
        <w:topLinePunct w:val="0"/>
        <w:bidi w:val="0"/>
        <w:adjustRightInd/>
        <w:spacing w:line="560" w:lineRule="exact"/>
        <w:ind w:firstLine="640" w:firstLineChars="200"/>
        <w:jc w:val="left"/>
        <w:textAlignment w:val="auto"/>
        <w:rPr>
          <w:rFonts w:hint="default" w:ascii="Times New Roman Regular" w:hAnsi="Times New Roman Regular" w:eastAsia="楷体" w:cs="Times New Roman Regular"/>
          <w:b w:val="0"/>
          <w:bCs w:val="0"/>
          <w:color w:val="000000"/>
          <w:kern w:val="0"/>
          <w:sz w:val="32"/>
          <w:szCs w:val="32"/>
          <w:lang w:val="en-US" w:eastAsia="zh-CN" w:bidi="ar"/>
        </w:rPr>
      </w:pPr>
      <w:r>
        <w:rPr>
          <w:rFonts w:hint="default" w:ascii="Times New Roman Regular" w:hAnsi="Times New Roman Regular" w:eastAsia="楷体" w:cs="Times New Roman Regular"/>
          <w:b w:val="0"/>
          <w:bCs w:val="0"/>
          <w:color w:val="000000"/>
          <w:kern w:val="0"/>
          <w:sz w:val="32"/>
          <w:szCs w:val="32"/>
          <w:lang w:val="en-US" w:eastAsia="zh-CN" w:bidi="ar"/>
        </w:rPr>
        <w:t>（二）参赛项目要求</w:t>
      </w:r>
    </w:p>
    <w:p w14:paraId="0EECE4EB">
      <w:pPr>
        <w:keepNext w:val="0"/>
        <w:keepLines w:val="0"/>
        <w:pageBreakBefore w:val="0"/>
        <w:widowControl/>
        <w:suppressLineNumbers w:val="0"/>
        <w:kinsoku/>
        <w:wordWrap/>
        <w:overflowPunct/>
        <w:topLinePunct w:val="0"/>
        <w:bidi w:val="0"/>
        <w:adjustRightInd/>
        <w:spacing w:line="560" w:lineRule="exact"/>
        <w:ind w:firstLine="640" w:firstLineChars="200"/>
        <w:jc w:val="left"/>
        <w:textAlignment w:val="auto"/>
        <w:rPr>
          <w:rFonts w:hint="default" w:ascii="Times New Roman Regular" w:hAnsi="Times New Roman Regular" w:cs="Times New Roman Regular"/>
          <w:b w:val="0"/>
          <w:bCs w:val="0"/>
          <w:sz w:val="32"/>
          <w:szCs w:val="32"/>
        </w:rPr>
      </w:pPr>
      <w:r>
        <w:rPr>
          <w:rFonts w:hint="default" w:ascii="Times New Roman Regular" w:hAnsi="Times New Roman Regular" w:eastAsia="仿宋_GB2312" w:cs="Times New Roman Regular"/>
          <w:b w:val="0"/>
          <w:bCs w:val="0"/>
          <w:sz w:val="32"/>
          <w:szCs w:val="32"/>
        </w:rPr>
        <w:t>颠覆性技术是“可改变游戏规则”的创新技术，以创新思维为根本，开辟新型技术发展模式，在发展到一定阶段时，将超越原有技术并产生替代，具有另辟蹊径改变技术轨道的演化曲线和颠覆现况的变革性效果。从技术角度看，是以科学技术的新原理、新组合和新应用为基础，开辟全新技术轨道，产生突破性的创新技术；从产业角度看，应与产业结合紧密，通过形成新工艺、新产品或新模式，利用技术创新带动产业升级换代，改变行业主流产品和市场格局，推动相关产业乃至全球经济的革命性、颠覆性进步。大赛聚焦对产业具有颠覆前景的技术项目，清晰阐明其技术突破性、产业变革性等。</w:t>
      </w:r>
    </w:p>
    <w:p w14:paraId="2370CE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黑体" w:cs="Times New Roman Regular"/>
          <w:b w:val="0"/>
          <w:bCs w:val="0"/>
          <w:sz w:val="32"/>
          <w:szCs w:val="32"/>
          <w:lang w:val="en-US" w:eastAsia="zh-CN"/>
        </w:rPr>
      </w:pPr>
      <w:r>
        <w:rPr>
          <w:rFonts w:hint="default" w:ascii="Times New Roman Regular" w:hAnsi="Times New Roman Regular" w:eastAsia="黑体" w:cs="Times New Roman Regular"/>
          <w:b w:val="0"/>
          <w:bCs w:val="0"/>
          <w:sz w:val="32"/>
          <w:szCs w:val="32"/>
        </w:rPr>
        <w:t>五、</w:t>
      </w:r>
      <w:r>
        <w:rPr>
          <w:rFonts w:hint="default" w:ascii="Times New Roman Regular" w:hAnsi="Times New Roman Regular" w:eastAsia="黑体" w:cs="Times New Roman Regular"/>
          <w:b w:val="0"/>
          <w:bCs w:val="0"/>
          <w:sz w:val="32"/>
          <w:szCs w:val="32"/>
          <w:lang w:val="en-US" w:eastAsia="zh-CN"/>
        </w:rPr>
        <w:t>领域设定</w:t>
      </w:r>
    </w:p>
    <w:p w14:paraId="526FED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紧密围绕国家战略需要、行业共性需求，突出前沿技术探索、产业变革引领、场景应用破局等三类参赛方向，重点聚焦未来信息领域</w:t>
      </w:r>
      <w:r>
        <w:rPr>
          <w:rFonts w:hint="default" w:ascii="Times New Roman Regular" w:hAnsi="Times New Roman Regular" w:eastAsia="仿宋_GB2312" w:cs="Times New Roman Regular"/>
          <w:b w:val="0"/>
          <w:bCs w:val="0"/>
          <w:sz w:val="32"/>
          <w:szCs w:val="32"/>
          <w:lang w:eastAsia="zh-CN"/>
        </w:rPr>
        <w:t>（</w:t>
      </w:r>
      <w:r>
        <w:rPr>
          <w:rFonts w:hint="default" w:ascii="Times New Roman Regular" w:hAnsi="Times New Roman Regular" w:eastAsia="仿宋_GB2312" w:cs="Times New Roman Regular"/>
          <w:b w:val="0"/>
          <w:bCs w:val="0"/>
          <w:sz w:val="32"/>
          <w:szCs w:val="32"/>
          <w:lang w:val="en-US" w:eastAsia="zh-CN"/>
        </w:rPr>
        <w:t>包括</w:t>
      </w:r>
      <w:r>
        <w:rPr>
          <w:rFonts w:hint="default" w:ascii="Times New Roman Regular" w:hAnsi="Times New Roman Regular" w:eastAsia="仿宋_GB2312" w:cs="Times New Roman Regular"/>
          <w:b w:val="0"/>
          <w:bCs w:val="0"/>
          <w:sz w:val="32"/>
          <w:szCs w:val="32"/>
        </w:rPr>
        <w:t>下一代移动通信、卫星互联网、量子信息、量子计算、光子计算、类脑智能、群体智能、大模型等方向</w:t>
      </w:r>
      <w:r>
        <w:rPr>
          <w:rFonts w:hint="default" w:ascii="Times New Roman Regular" w:hAnsi="Times New Roman Regular" w:eastAsia="仿宋_GB2312" w:cs="Times New Roman Regular"/>
          <w:b w:val="0"/>
          <w:bCs w:val="0"/>
          <w:sz w:val="32"/>
          <w:szCs w:val="32"/>
          <w:lang w:eastAsia="zh-CN"/>
        </w:rPr>
        <w:t>）</w:t>
      </w:r>
      <w:r>
        <w:rPr>
          <w:rFonts w:hint="default" w:ascii="Times New Roman Regular" w:hAnsi="Times New Roman Regular" w:eastAsia="仿宋_GB2312" w:cs="Times New Roman Regular"/>
          <w:b w:val="0"/>
          <w:bCs w:val="0"/>
          <w:sz w:val="32"/>
          <w:szCs w:val="32"/>
        </w:rPr>
        <w:t>。凡符合同类方向且聚焦未来信息领域的相关项目均可参与。</w:t>
      </w:r>
    </w:p>
    <w:p w14:paraId="22B7CD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黑体" w:cs="Times New Roman Regular"/>
          <w:b w:val="0"/>
          <w:bCs w:val="0"/>
          <w:sz w:val="32"/>
          <w:szCs w:val="32"/>
          <w:lang w:val="en-US" w:eastAsia="zh-CN"/>
        </w:rPr>
      </w:pPr>
      <w:r>
        <w:rPr>
          <w:rFonts w:hint="default" w:ascii="Times New Roman Regular" w:hAnsi="Times New Roman Regular" w:eastAsia="黑体" w:cs="Times New Roman Regular"/>
          <w:b w:val="0"/>
          <w:bCs w:val="0"/>
          <w:sz w:val="32"/>
          <w:szCs w:val="32"/>
        </w:rPr>
        <w:t>六、</w:t>
      </w:r>
      <w:r>
        <w:rPr>
          <w:rFonts w:hint="default" w:ascii="Times New Roman Regular" w:hAnsi="Times New Roman Regular" w:eastAsia="黑体" w:cs="Times New Roman Regular"/>
          <w:b w:val="0"/>
          <w:bCs w:val="0"/>
          <w:sz w:val="32"/>
          <w:szCs w:val="32"/>
          <w:lang w:val="en-US" w:eastAsia="zh-CN"/>
        </w:rPr>
        <w:t>赛程安排</w:t>
      </w:r>
    </w:p>
    <w:p w14:paraId="406CC3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楷体" w:cs="Times New Roman Regular"/>
          <w:b w:val="0"/>
          <w:bCs w:val="0"/>
          <w:sz w:val="32"/>
          <w:szCs w:val="32"/>
          <w:lang w:val="en-US" w:eastAsia="zh-CN"/>
        </w:rPr>
      </w:pPr>
      <w:r>
        <w:rPr>
          <w:rFonts w:hint="default" w:ascii="Times New Roman Regular" w:hAnsi="Times New Roman Regular" w:eastAsia="楷体" w:cs="Times New Roman Regular"/>
          <w:b w:val="0"/>
          <w:bCs w:val="0"/>
          <w:sz w:val="32"/>
          <w:szCs w:val="32"/>
          <w:lang w:eastAsia="zh-CN"/>
        </w:rPr>
        <w:t>（</w:t>
      </w:r>
      <w:r>
        <w:rPr>
          <w:rFonts w:hint="default" w:ascii="Times New Roman Regular" w:hAnsi="Times New Roman Regular" w:eastAsia="楷体" w:cs="Times New Roman Regular"/>
          <w:b w:val="0"/>
          <w:bCs w:val="0"/>
          <w:sz w:val="32"/>
          <w:szCs w:val="32"/>
        </w:rPr>
        <w:t>一</w:t>
      </w:r>
      <w:r>
        <w:rPr>
          <w:rFonts w:hint="default" w:ascii="Times New Roman Regular" w:hAnsi="Times New Roman Regular" w:eastAsia="楷体" w:cs="Times New Roman Regular"/>
          <w:b w:val="0"/>
          <w:bCs w:val="0"/>
          <w:sz w:val="32"/>
          <w:szCs w:val="32"/>
          <w:lang w:eastAsia="zh-CN"/>
        </w:rPr>
        <w:t>）</w:t>
      </w:r>
      <w:r>
        <w:rPr>
          <w:rFonts w:hint="default" w:ascii="Times New Roman Regular" w:hAnsi="Times New Roman Regular" w:eastAsia="楷体" w:cs="Times New Roman Regular"/>
          <w:b w:val="0"/>
          <w:bCs w:val="0"/>
          <w:sz w:val="32"/>
          <w:szCs w:val="32"/>
          <w:lang w:val="en-US" w:eastAsia="zh-CN"/>
        </w:rPr>
        <w:t>自主报名</w:t>
      </w:r>
    </w:p>
    <w:p w14:paraId="4BC551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各参赛单位通过大赛官方网站进行统一注册报名，同时承诺对填报信息的准确、真实、合法、有效性负责。</w:t>
      </w:r>
    </w:p>
    <w:p w14:paraId="79CD43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报名截止时间为2025年9月30日。</w:t>
      </w:r>
    </w:p>
    <w:p w14:paraId="60E65B54">
      <w:pPr>
        <w:keepNext w:val="0"/>
        <w:keepLines w:val="0"/>
        <w:pageBreakBefore w:val="0"/>
        <w:widowControl w:val="0"/>
        <w:numPr>
          <w:ilvl w:val="0"/>
          <w:numId w:val="0"/>
        </w:numPr>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楷体_GB2312" w:cs="Times New Roman Regular"/>
          <w:b w:val="0"/>
          <w:bCs w:val="0"/>
          <w:color w:val="000000"/>
          <w:sz w:val="32"/>
          <w:szCs w:val="32"/>
          <w:highlight w:val="none"/>
          <w:lang w:val="en-US" w:eastAsia="zh-CN"/>
        </w:rPr>
        <w:t>（二）项目审查和初筛。</w:t>
      </w:r>
      <w:r>
        <w:rPr>
          <w:rFonts w:hint="default" w:ascii="Times New Roman Regular" w:hAnsi="Times New Roman Regular" w:eastAsia="仿宋_GB2312" w:cs="Times New Roman Regular"/>
          <w:b w:val="0"/>
          <w:bCs w:val="0"/>
          <w:kern w:val="2"/>
          <w:sz w:val="32"/>
          <w:szCs w:val="32"/>
          <w:highlight w:val="none"/>
          <w:lang w:val="en-US" w:eastAsia="zh-CN" w:bidi="ar-SA"/>
        </w:rPr>
        <w:t>对报名参赛项目，按照项目合规性审查标准进行审查，再根据颠覆性技术评议标准进行初步筛选，确定进入领域赛项目名单。</w:t>
      </w:r>
    </w:p>
    <w:p w14:paraId="58A47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b w:val="0"/>
          <w:bCs w:val="0"/>
          <w:sz w:val="32"/>
          <w:szCs w:val="32"/>
          <w:lang w:eastAsia="zh-CN"/>
        </w:rPr>
      </w:pPr>
      <w:r>
        <w:rPr>
          <w:rFonts w:hint="default" w:ascii="Times New Roman Regular" w:hAnsi="Times New Roman Regular" w:eastAsia="仿宋_GB2312" w:cs="Times New Roman Regular"/>
          <w:b w:val="0"/>
          <w:bCs w:val="0"/>
          <w:color w:val="000000"/>
          <w:kern w:val="0"/>
          <w:sz w:val="32"/>
          <w:szCs w:val="32"/>
          <w:lang w:bidi="ar"/>
        </w:rPr>
        <w:t>项目初筛时间为2025年10月中旬。</w:t>
      </w:r>
    </w:p>
    <w:p w14:paraId="15BDD6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楷体" w:cs="Times New Roman Regular"/>
          <w:b w:val="0"/>
          <w:bCs w:val="0"/>
          <w:sz w:val="32"/>
          <w:szCs w:val="32"/>
          <w:lang w:val="en-US" w:eastAsia="zh-CN"/>
        </w:rPr>
      </w:pPr>
      <w:r>
        <w:rPr>
          <w:rFonts w:hint="default" w:ascii="Times New Roman Regular" w:hAnsi="Times New Roman Regular" w:eastAsia="楷体" w:cs="Times New Roman Regular"/>
          <w:b w:val="0"/>
          <w:bCs w:val="0"/>
          <w:sz w:val="32"/>
          <w:szCs w:val="32"/>
          <w:lang w:val="en-US" w:eastAsia="zh-CN"/>
        </w:rPr>
        <w:t>（三）比赛说明</w:t>
      </w:r>
    </w:p>
    <w:p w14:paraId="1B141F8F">
      <w:pPr>
        <w:keepNext w:val="0"/>
        <w:keepLines w:val="0"/>
        <w:pageBreakBefore w:val="0"/>
        <w:widowControl w:val="0"/>
        <w:numPr>
          <w:ilvl w:val="0"/>
          <w:numId w:val="0"/>
        </w:numPr>
        <w:suppressAutoHyphens/>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color w:val="000000"/>
          <w:kern w:val="2"/>
          <w:sz w:val="32"/>
          <w:szCs w:val="32"/>
          <w:highlight w:val="none"/>
          <w:u w:val="none"/>
          <w:shd w:val="clear" w:color="auto" w:fill="FFFFFF"/>
          <w:lang w:val="en-US" w:eastAsia="zh-CN" w:bidi="ar-SA"/>
        </w:rPr>
      </w:pPr>
      <w:r>
        <w:rPr>
          <w:rFonts w:hint="default" w:ascii="Times New Roman Regular" w:hAnsi="Times New Roman Regular" w:eastAsia="仿宋_GB2312" w:cs="Times New Roman Regular"/>
          <w:b w:val="0"/>
          <w:bCs w:val="0"/>
          <w:color w:val="000000"/>
          <w:kern w:val="2"/>
          <w:sz w:val="32"/>
          <w:szCs w:val="32"/>
          <w:highlight w:val="none"/>
          <w:u w:val="none"/>
          <w:shd w:val="clear" w:color="auto" w:fill="FFFFFF"/>
          <w:lang w:val="en-US" w:eastAsia="zh-CN" w:bidi="ar-SA"/>
        </w:rPr>
        <w:t>1.比赛分组。领域赛将参赛单位分组并排序，参加评议的评委随机分组组成评议组，项目组与评议组随机匹配。</w:t>
      </w:r>
    </w:p>
    <w:p w14:paraId="50DA4C8D">
      <w:pPr>
        <w:keepNext w:val="0"/>
        <w:keepLines w:val="0"/>
        <w:pageBreakBefore w:val="0"/>
        <w:widowControl w:val="0"/>
        <w:suppressAutoHyphens/>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color w:val="000000"/>
          <w:kern w:val="2"/>
          <w:sz w:val="32"/>
          <w:szCs w:val="32"/>
          <w:highlight w:val="none"/>
          <w:u w:val="none"/>
          <w:shd w:val="clear" w:color="auto" w:fill="FFFFFF"/>
          <w:lang w:val="en-US" w:eastAsia="zh-CN" w:bidi="ar-SA"/>
        </w:rPr>
      </w:pPr>
      <w:r>
        <w:rPr>
          <w:rFonts w:hint="default" w:ascii="Times New Roman Regular" w:hAnsi="Times New Roman Regular" w:eastAsia="仿宋_GB2312" w:cs="Times New Roman Regular"/>
          <w:b w:val="0"/>
          <w:bCs w:val="0"/>
          <w:color w:val="000000"/>
          <w:kern w:val="2"/>
          <w:sz w:val="32"/>
          <w:szCs w:val="32"/>
          <w:highlight w:val="none"/>
          <w:u w:val="none"/>
          <w:shd w:val="clear" w:color="auto" w:fill="FFFFFF"/>
          <w:lang w:val="en-US" w:eastAsia="zh-CN" w:bidi="ar-SA"/>
        </w:rPr>
        <w:t>2.比赛模式。领域赛采用“12+8”模式封闭式陈述和答辩，参赛选手陈述时间12分钟，评议组问答时间8分钟。</w:t>
      </w:r>
    </w:p>
    <w:p w14:paraId="3A13006D">
      <w:pPr>
        <w:keepNext w:val="0"/>
        <w:keepLines w:val="0"/>
        <w:pageBreakBefore w:val="0"/>
        <w:widowControl w:val="0"/>
        <w:suppressAutoHyphens/>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color w:val="000000"/>
          <w:kern w:val="2"/>
          <w:sz w:val="32"/>
          <w:szCs w:val="32"/>
          <w:highlight w:val="none"/>
          <w:u w:val="none"/>
          <w:shd w:val="clear" w:color="auto" w:fill="FFFFFF"/>
          <w:lang w:val="en-US" w:eastAsia="zh-CN" w:bidi="ar-SA"/>
        </w:rPr>
      </w:pPr>
      <w:r>
        <w:rPr>
          <w:rFonts w:hint="default" w:ascii="Times New Roman Regular" w:hAnsi="Times New Roman Regular" w:eastAsia="仿宋_GB2312" w:cs="Times New Roman Regular"/>
          <w:b w:val="0"/>
          <w:bCs w:val="0"/>
          <w:color w:val="000000"/>
          <w:kern w:val="2"/>
          <w:sz w:val="32"/>
          <w:szCs w:val="32"/>
          <w:highlight w:val="none"/>
          <w:u w:val="none"/>
          <w:shd w:val="clear" w:color="auto" w:fill="FFFFFF"/>
          <w:lang w:val="en-US" w:eastAsia="zh-CN" w:bidi="ar-SA"/>
        </w:rPr>
        <w:t>3.评议流程。评议流程按初次评议和交叉评议两个环节依次进行。初次评议既对项目技术情况作出颠覆性可能评价，也进行评级；交叉评议对项目技术情况的颠覆性可能作进一步识别。评议结果</w:t>
      </w:r>
      <w:r>
        <w:rPr>
          <w:rFonts w:hint="default" w:ascii="Times New Roman Regular" w:hAnsi="Times New Roman Regular" w:eastAsia="仿宋_GB2312" w:cs="Times New Roman Regular"/>
          <w:b w:val="0"/>
          <w:bCs w:val="0"/>
          <w:kern w:val="2"/>
          <w:sz w:val="32"/>
          <w:szCs w:val="32"/>
          <w:lang w:val="en-US" w:eastAsia="zh-CN" w:bidi="ar-SA"/>
        </w:rPr>
        <w:t>分为优秀项目和优胜项目，优胜项目择优进入决赛。</w:t>
      </w:r>
    </w:p>
    <w:p w14:paraId="2D16D30D">
      <w:pPr>
        <w:keepNext w:val="0"/>
        <w:keepLines w:val="0"/>
        <w:pageBreakBefore w:val="0"/>
        <w:numPr>
          <w:ilvl w:val="0"/>
          <w:numId w:val="0"/>
        </w:numPr>
        <w:suppressAutoHyphens/>
        <w:kinsoku/>
        <w:wordWrap/>
        <w:overflowPunct/>
        <w:topLinePunct w:val="0"/>
        <w:bidi w:val="0"/>
        <w:adjustRightInd/>
        <w:spacing w:line="560" w:lineRule="exact"/>
        <w:ind w:leftChars="200"/>
        <w:textAlignment w:val="auto"/>
        <w:rPr>
          <w:rFonts w:hint="default" w:ascii="Times New Roman Regular" w:hAnsi="Times New Roman Regular" w:eastAsia="楷体" w:cs="Times New Roman Regular"/>
          <w:b w:val="0"/>
          <w:bCs w:val="0"/>
          <w:color w:val="000000"/>
          <w:sz w:val="32"/>
          <w:szCs w:val="32"/>
          <w:highlight w:val="none"/>
          <w:u w:val="none"/>
          <w:shd w:val="clear" w:color="auto" w:fill="FFFFFF"/>
          <w:lang w:val="en-US" w:eastAsia="zh-CN"/>
        </w:rPr>
      </w:pPr>
      <w:r>
        <w:rPr>
          <w:rFonts w:hint="default" w:ascii="Times New Roman Regular" w:hAnsi="Times New Roman Regular" w:eastAsia="楷体" w:cs="Times New Roman Regular"/>
          <w:b w:val="0"/>
          <w:bCs w:val="0"/>
          <w:color w:val="000000"/>
          <w:kern w:val="2"/>
          <w:sz w:val="32"/>
          <w:szCs w:val="32"/>
          <w:highlight w:val="none"/>
          <w:u w:val="none"/>
          <w:shd w:val="clear" w:color="auto" w:fill="FFFFFF"/>
          <w:lang w:val="en-US" w:eastAsia="zh-CN" w:bidi="ar-SA"/>
        </w:rPr>
        <w:t>（四）</w:t>
      </w:r>
      <w:r>
        <w:rPr>
          <w:rFonts w:hint="default" w:ascii="Times New Roman Regular" w:hAnsi="Times New Roman Regular" w:eastAsia="楷体" w:cs="Times New Roman Regular"/>
          <w:b w:val="0"/>
          <w:bCs w:val="0"/>
          <w:color w:val="000000"/>
          <w:sz w:val="32"/>
          <w:szCs w:val="32"/>
          <w:highlight w:val="none"/>
          <w:u w:val="none"/>
          <w:shd w:val="clear" w:color="auto" w:fill="FFFFFF"/>
          <w:lang w:val="en-US" w:eastAsia="zh-CN"/>
        </w:rPr>
        <w:t>组织方案</w:t>
      </w:r>
    </w:p>
    <w:p w14:paraId="769EF0E8">
      <w:pPr>
        <w:keepNext w:val="0"/>
        <w:keepLines w:val="0"/>
        <w:pageBreakBefore w:val="0"/>
        <w:suppressAutoHyphens/>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kern w:val="0"/>
          <w:sz w:val="32"/>
          <w:szCs w:val="32"/>
          <w:highlight w:val="none"/>
        </w:rPr>
      </w:pPr>
      <w:r>
        <w:rPr>
          <w:rFonts w:hint="default" w:ascii="Times New Roman Regular" w:hAnsi="Times New Roman Regular" w:eastAsia="仿宋_GB2312" w:cs="Times New Roman Regular"/>
          <w:b w:val="0"/>
          <w:bCs w:val="0"/>
          <w:kern w:val="2"/>
          <w:sz w:val="32"/>
          <w:szCs w:val="32"/>
          <w:highlight w:val="none"/>
          <w:lang w:val="en-US" w:eastAsia="zh-CN" w:bidi="ar-SA"/>
        </w:rPr>
        <w:t>1.</w:t>
      </w:r>
      <w:r>
        <w:rPr>
          <w:rFonts w:hint="default" w:ascii="Times New Roman Regular" w:hAnsi="Times New Roman Regular" w:eastAsia="仿宋_GB2312" w:cs="Times New Roman Regular"/>
          <w:b w:val="0"/>
          <w:bCs w:val="0"/>
          <w:kern w:val="0"/>
          <w:sz w:val="32"/>
          <w:szCs w:val="32"/>
          <w:highlight w:val="none"/>
        </w:rPr>
        <w:t>比赛时间：2025年10月下旬</w:t>
      </w:r>
      <w:r>
        <w:rPr>
          <w:rFonts w:hint="default" w:ascii="Times New Roman Regular" w:hAnsi="Times New Roman Regular" w:eastAsia="仿宋_GB2312" w:cs="Times New Roman Regular"/>
          <w:b w:val="0"/>
          <w:bCs w:val="0"/>
          <w:kern w:val="0"/>
          <w:sz w:val="32"/>
          <w:szCs w:val="32"/>
          <w:highlight w:val="none"/>
          <w:lang w:eastAsia="zh-CN"/>
        </w:rPr>
        <w:t>（</w:t>
      </w:r>
      <w:r>
        <w:rPr>
          <w:rFonts w:hint="default" w:ascii="Times New Roman Regular" w:hAnsi="Times New Roman Regular" w:eastAsia="仿宋_GB2312" w:cs="Times New Roman Regular"/>
          <w:b w:val="0"/>
          <w:bCs w:val="0"/>
          <w:kern w:val="0"/>
          <w:sz w:val="32"/>
          <w:szCs w:val="32"/>
          <w:highlight w:val="none"/>
          <w:lang w:val="en-US" w:eastAsia="zh-CN"/>
        </w:rPr>
        <w:t>拟）</w:t>
      </w:r>
    </w:p>
    <w:p w14:paraId="555F5D9E">
      <w:pPr>
        <w:keepNext w:val="0"/>
        <w:keepLines w:val="0"/>
        <w:pageBreakBefore w:val="0"/>
        <w:widowControl/>
        <w:numPr>
          <w:ilvl w:val="0"/>
          <w:numId w:val="0"/>
        </w:numPr>
        <w:suppressAutoHyphens/>
        <w:kinsoku/>
        <w:wordWrap/>
        <w:overflowPunct/>
        <w:topLinePunct w:val="0"/>
        <w:bidi w:val="0"/>
        <w:adjustRightInd/>
        <w:snapToGrid w:val="0"/>
        <w:spacing w:before="0" w:after="0" w:line="560" w:lineRule="exact"/>
        <w:ind w:left="0" w:leftChars="0" w:firstLine="640" w:firstLineChars="200"/>
        <w:jc w:val="left"/>
        <w:textAlignment w:val="auto"/>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仿宋_GB2312" w:cs="Times New Roman Regular"/>
          <w:b w:val="0"/>
          <w:bCs w:val="0"/>
          <w:kern w:val="2"/>
          <w:sz w:val="32"/>
          <w:szCs w:val="32"/>
          <w:highlight w:val="none"/>
          <w:lang w:val="en-US" w:eastAsia="zh-CN" w:bidi="ar-SA"/>
        </w:rPr>
        <w:t>2.参赛人员。每个参赛项目单位选派1-2名代表作为选手参加比赛。其中1名为参赛项目的负责人或研发团队主要人员作为陈述和答辩人，另可选派1名助手。</w:t>
      </w:r>
    </w:p>
    <w:p w14:paraId="5E302418">
      <w:pPr>
        <w:keepNext w:val="0"/>
        <w:keepLines w:val="0"/>
        <w:pageBreakBefore w:val="0"/>
        <w:widowControl/>
        <w:numPr>
          <w:ilvl w:val="0"/>
          <w:numId w:val="0"/>
        </w:numPr>
        <w:suppressAutoHyphens/>
        <w:kinsoku/>
        <w:wordWrap/>
        <w:overflowPunct/>
        <w:topLinePunct w:val="0"/>
        <w:bidi w:val="0"/>
        <w:adjustRightInd/>
        <w:snapToGrid w:val="0"/>
        <w:spacing w:before="0" w:after="0" w:line="560" w:lineRule="exact"/>
        <w:ind w:left="0" w:leftChars="0" w:firstLine="640" w:firstLineChars="200"/>
        <w:jc w:val="left"/>
        <w:textAlignment w:val="auto"/>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仿宋_GB2312" w:cs="Times New Roman Regular"/>
          <w:b w:val="0"/>
          <w:bCs w:val="0"/>
          <w:kern w:val="2"/>
          <w:sz w:val="32"/>
          <w:szCs w:val="32"/>
          <w:highlight w:val="none"/>
          <w:lang w:val="en-US" w:eastAsia="zh-CN" w:bidi="ar-SA"/>
        </w:rPr>
        <w:t>3.比赛展示。参赛选手须提供比赛使用的PPT电子版。参赛选手可在比赛中展示产品、样品等相关实物模型。</w:t>
      </w:r>
    </w:p>
    <w:p w14:paraId="5769C860">
      <w:pPr>
        <w:keepNext w:val="0"/>
        <w:keepLines w:val="0"/>
        <w:pageBreakBefore w:val="0"/>
        <w:suppressAutoHyphens/>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kern w:val="2"/>
          <w:sz w:val="32"/>
          <w:szCs w:val="32"/>
          <w:highlight w:val="none"/>
          <w:lang w:val="en-US" w:eastAsia="zh-CN" w:bidi="ar-SA"/>
        </w:rPr>
        <w:t>4.参赛费用。领域赛不向参赛单位收取任何费用。领域赛不统一安排食宿，参赛选手差旅费、食宿费自理。</w:t>
      </w:r>
    </w:p>
    <w:p w14:paraId="04CFAD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黑体" w:cs="Times New Roman Regular"/>
          <w:b w:val="0"/>
          <w:bCs w:val="0"/>
          <w:sz w:val="32"/>
          <w:szCs w:val="32"/>
          <w:lang w:val="en-US" w:eastAsia="zh-CN"/>
        </w:rPr>
      </w:pPr>
      <w:r>
        <w:rPr>
          <w:rFonts w:hint="default" w:ascii="Times New Roman Regular" w:hAnsi="Times New Roman Regular" w:eastAsia="黑体" w:cs="Times New Roman Regular"/>
          <w:b w:val="0"/>
          <w:bCs w:val="0"/>
          <w:sz w:val="32"/>
          <w:szCs w:val="32"/>
          <w:lang w:val="en-US" w:eastAsia="zh-CN"/>
        </w:rPr>
        <w:t>七</w:t>
      </w:r>
      <w:r>
        <w:rPr>
          <w:rFonts w:hint="default" w:ascii="Times New Roman Regular" w:hAnsi="Times New Roman Regular" w:eastAsia="黑体" w:cs="Times New Roman Regular"/>
          <w:b w:val="0"/>
          <w:bCs w:val="0"/>
          <w:sz w:val="32"/>
          <w:szCs w:val="32"/>
        </w:rPr>
        <w:t>、</w:t>
      </w:r>
      <w:r>
        <w:rPr>
          <w:rFonts w:hint="default" w:ascii="Times New Roman Regular" w:hAnsi="Times New Roman Regular" w:eastAsia="黑体" w:cs="Times New Roman Regular"/>
          <w:b w:val="0"/>
          <w:bCs w:val="0"/>
          <w:sz w:val="32"/>
          <w:szCs w:val="32"/>
          <w:lang w:val="en-US" w:eastAsia="zh-CN"/>
        </w:rPr>
        <w:t>服务政策</w:t>
      </w:r>
    </w:p>
    <w:p w14:paraId="40671DBD">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Regular" w:hAnsi="Times New Roman Regular" w:eastAsia="仿宋_GB2312" w:cs="Times New Roman Regular"/>
          <w:b w:val="0"/>
          <w:bCs w:val="0"/>
          <w:sz w:val="32"/>
          <w:szCs w:val="32"/>
          <w:highlight w:val="none"/>
          <w:u w:val="none"/>
          <w:lang w:val="en-US" w:eastAsia="zh-CN"/>
        </w:rPr>
      </w:pPr>
      <w:r>
        <w:rPr>
          <w:rFonts w:hint="default" w:ascii="Times New Roman Regular" w:hAnsi="Times New Roman Regular" w:eastAsia="楷体" w:cs="Times New Roman Regular"/>
          <w:b w:val="0"/>
          <w:bCs w:val="0"/>
          <w:sz w:val="32"/>
          <w:szCs w:val="32"/>
          <w:highlight w:val="none"/>
          <w:u w:val="none"/>
          <w:lang w:val="en-US" w:eastAsia="zh-CN"/>
        </w:rPr>
        <w:t>（一）政策支持。</w:t>
      </w:r>
      <w:r>
        <w:rPr>
          <w:rFonts w:hint="default" w:ascii="Times New Roman Regular" w:hAnsi="Times New Roman Regular" w:eastAsia="仿宋_GB2312" w:cs="Times New Roman Regular"/>
          <w:b w:val="0"/>
          <w:bCs w:val="0"/>
          <w:sz w:val="32"/>
          <w:szCs w:val="32"/>
          <w:highlight w:val="none"/>
          <w:u w:val="none"/>
          <w:lang w:val="en-US" w:eastAsia="zh-CN"/>
        </w:rPr>
        <w:t>符合条件的优胜项目纳入工业和信息化部未来产业发展优秀典型案例库，在参加对应方向未来产业创新任务揭榜挂帅工作时，择优直接进入线下评审环节。支持符合条件的参赛企业纳入工业和信息化部优质企业梯度培育体系，</w:t>
      </w:r>
      <w:r>
        <w:rPr>
          <w:rFonts w:hint="default" w:ascii="Times New Roman Regular" w:hAnsi="Times New Roman Regular" w:eastAsia="仿宋_GB2312" w:cs="Times New Roman Regular"/>
          <w:sz w:val="32"/>
          <w:szCs w:val="32"/>
          <w:highlight w:val="none"/>
          <w:u w:val="none"/>
          <w:lang w:val="en-US" w:eastAsia="zh-CN"/>
        </w:rPr>
        <w:t>在高新技术企业认定、科技型中小企业评价等方面，为参赛企业予以重点指导，联合相关单位开展“专精特新”申报、科创板企业上市等综合赋能培训。向科技型企业孵化器推送有需求的项目信息，支持早期企业和团队入孵。择优向</w:t>
      </w:r>
      <w:r>
        <w:rPr>
          <w:rFonts w:hint="default" w:ascii="Times New Roman Regular" w:hAnsi="Times New Roman Regular" w:eastAsia="仿宋_GB2312" w:cs="Times New Roman Regular"/>
          <w:b w:val="0"/>
          <w:bCs w:val="0"/>
          <w:sz w:val="32"/>
          <w:szCs w:val="32"/>
          <w:highlight w:val="none"/>
          <w:u w:val="none"/>
          <w:lang w:val="en-US" w:eastAsia="zh-CN"/>
        </w:rPr>
        <w:t>国家颠覆性技术创新重点专项推荐优胜项目并争取支持。</w:t>
      </w:r>
    </w:p>
    <w:p w14:paraId="6A50EDE1">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Regular" w:hAnsi="Times New Roman Regular" w:eastAsia="仿宋_GB2312" w:cs="Times New Roman Regular"/>
          <w:b w:val="0"/>
          <w:bCs w:val="0"/>
          <w:sz w:val="32"/>
          <w:szCs w:val="32"/>
          <w:highlight w:val="none"/>
          <w:u w:val="none"/>
          <w:lang w:val="en-US" w:eastAsia="zh-CN"/>
        </w:rPr>
      </w:pPr>
      <w:r>
        <w:rPr>
          <w:rFonts w:hint="default" w:ascii="Times New Roman Regular" w:hAnsi="Times New Roman Regular" w:eastAsia="楷体" w:cs="Times New Roman Regular"/>
          <w:b w:val="0"/>
          <w:bCs w:val="0"/>
          <w:sz w:val="32"/>
          <w:szCs w:val="32"/>
          <w:highlight w:val="none"/>
          <w:u w:val="none"/>
          <w:lang w:val="en-US" w:eastAsia="zh-CN"/>
        </w:rPr>
        <w:t>（二）金融服务。</w:t>
      </w:r>
      <w:r>
        <w:rPr>
          <w:rFonts w:hint="default" w:ascii="Times New Roman Regular" w:hAnsi="Times New Roman Regular" w:eastAsia="仿宋_GB2312" w:cs="Times New Roman Regular"/>
          <w:b w:val="0"/>
          <w:bCs w:val="0"/>
          <w:sz w:val="32"/>
          <w:szCs w:val="32"/>
          <w:highlight w:val="none"/>
          <w:u w:val="none"/>
          <w:lang w:val="en-US" w:eastAsia="zh-CN"/>
        </w:rPr>
        <w:t>向国家中小企业发展基金等国家级基金推荐大赛优胜项目，参赛项目择优推荐至基金或金融机构进行融资对接。将大赛优胜项目推送至国家产融合作平台，为企业在优惠信贷、发行债券、上市融资等方面创造便利，大赛合作银行择优给予参赛企业贷款授信支持，优胜项目可获得创新积分加分。</w:t>
      </w:r>
    </w:p>
    <w:p w14:paraId="47697811">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Regular" w:hAnsi="Times New Roman Regular" w:eastAsia="仿宋_GB2312" w:cs="Times New Roman Regular"/>
          <w:b w:val="0"/>
          <w:bCs w:val="0"/>
          <w:sz w:val="32"/>
          <w:szCs w:val="32"/>
          <w:highlight w:val="none"/>
          <w:u w:val="none"/>
          <w:lang w:val="en-US" w:eastAsia="zh-CN"/>
        </w:rPr>
      </w:pPr>
      <w:r>
        <w:rPr>
          <w:rFonts w:hint="default" w:ascii="Times New Roman Regular" w:hAnsi="Times New Roman Regular" w:eastAsia="楷体" w:cs="Times New Roman Regular"/>
          <w:b w:val="0"/>
          <w:bCs w:val="0"/>
          <w:sz w:val="32"/>
          <w:szCs w:val="32"/>
          <w:highlight w:val="none"/>
          <w:u w:val="none"/>
          <w:lang w:val="en-US" w:eastAsia="zh-CN"/>
        </w:rPr>
        <w:t>（三）人才服务。</w:t>
      </w:r>
      <w:r>
        <w:rPr>
          <w:rFonts w:hint="default" w:ascii="Times New Roman Regular" w:hAnsi="Times New Roman Regular" w:eastAsia="仿宋_GB2312" w:cs="Times New Roman Regular"/>
          <w:b w:val="0"/>
          <w:bCs w:val="0"/>
          <w:sz w:val="32"/>
          <w:szCs w:val="32"/>
          <w:highlight w:val="none"/>
          <w:u w:val="none"/>
          <w:lang w:val="en-US" w:eastAsia="zh-CN"/>
        </w:rPr>
        <w:t>联合相关高校为参赛企业举办创新创业优秀人才招聘，推荐参赛企业参加国家高新区科研助理岗招聘活动。依托“百园百校万企”合作行动，为高新区、企业提供人才服务。</w:t>
      </w:r>
    </w:p>
    <w:p w14:paraId="331D11AA">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Regular" w:hAnsi="Times New Roman Regular" w:eastAsia="仿宋_GB2312" w:cs="Times New Roman Regular"/>
          <w:b w:val="0"/>
          <w:bCs w:val="0"/>
          <w:sz w:val="32"/>
          <w:szCs w:val="32"/>
          <w:highlight w:val="none"/>
          <w:u w:val="none"/>
          <w:lang w:val="en-US" w:eastAsia="zh-CN"/>
        </w:rPr>
      </w:pPr>
      <w:r>
        <w:rPr>
          <w:rFonts w:hint="default" w:ascii="Times New Roman Regular" w:hAnsi="Times New Roman Regular" w:eastAsia="楷体" w:cs="Times New Roman Regular"/>
          <w:b w:val="0"/>
          <w:bCs w:val="0"/>
          <w:sz w:val="32"/>
          <w:szCs w:val="32"/>
          <w:highlight w:val="none"/>
          <w:u w:val="none"/>
          <w:lang w:val="en-US" w:eastAsia="zh-CN"/>
        </w:rPr>
        <w:t>（四）信息服务。</w:t>
      </w:r>
      <w:r>
        <w:rPr>
          <w:rFonts w:hint="default" w:ascii="Times New Roman Regular" w:hAnsi="Times New Roman Regular" w:eastAsia="仿宋_GB2312" w:cs="Times New Roman Regular"/>
          <w:b w:val="0"/>
          <w:bCs w:val="0"/>
          <w:sz w:val="32"/>
          <w:szCs w:val="32"/>
          <w:highlight w:val="none"/>
          <w:u w:val="none"/>
          <w:lang w:val="en-US" w:eastAsia="zh-CN"/>
        </w:rPr>
        <w:t>支持参赛企业参加国家高新区新赛道培育行动，定向为优秀参赛单位提供政府招商引资、科研项目指南、市场资源对接等信息。向大型工业企业、科研院所推送优胜项目的成熟产品和技术信息，组织对接活动，促进产学研合作。</w:t>
      </w:r>
    </w:p>
    <w:p w14:paraId="32055E31">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Regular" w:hAnsi="Times New Roman Regular" w:eastAsia="楷体" w:cs="Times New Roman Regular"/>
          <w:b w:val="0"/>
          <w:bCs w:val="0"/>
          <w:sz w:val="32"/>
          <w:szCs w:val="32"/>
          <w:highlight w:val="none"/>
          <w:u w:val="none"/>
          <w:lang w:val="en-US" w:eastAsia="zh-CN"/>
        </w:rPr>
      </w:pPr>
      <w:r>
        <w:rPr>
          <w:rFonts w:hint="default" w:ascii="Times New Roman Regular" w:hAnsi="Times New Roman Regular" w:eastAsia="楷体" w:cs="Times New Roman Regular"/>
          <w:b w:val="0"/>
          <w:bCs w:val="0"/>
          <w:sz w:val="32"/>
          <w:szCs w:val="32"/>
          <w:highlight w:val="none"/>
          <w:u w:val="none"/>
          <w:lang w:val="en-US" w:eastAsia="zh-CN"/>
        </w:rPr>
        <w:t>（五）地方服务</w:t>
      </w:r>
    </w:p>
    <w:p w14:paraId="4A5055DB">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Regular" w:hAnsi="Times New Roman Regular" w:eastAsia="仿宋_GB2312" w:cs="Times New Roman Regular"/>
          <w:b w:val="0"/>
          <w:bCs w:val="0"/>
          <w:sz w:val="32"/>
          <w:szCs w:val="32"/>
          <w:highlight w:val="none"/>
          <w:u w:val="none"/>
          <w:lang w:val="en-US" w:eastAsia="zh-CN"/>
        </w:rPr>
      </w:pPr>
      <w:r>
        <w:rPr>
          <w:rFonts w:hint="default" w:ascii="Times New Roman Regular" w:hAnsi="Times New Roman Regular" w:eastAsia="仿宋_GB2312" w:cs="Times New Roman Regular"/>
          <w:b w:val="0"/>
          <w:bCs w:val="0"/>
          <w:sz w:val="32"/>
          <w:szCs w:val="32"/>
          <w:highlight w:val="none"/>
          <w:u w:val="none"/>
          <w:lang w:val="en-US" w:eastAsia="zh-CN"/>
        </w:rPr>
        <w:t>1.西安高新区对于实际落户的第十四届中国创新创业大赛颠覆性技术创新大赛获奖项目提供基础空间支持政策（租金补贴、装修服务、共享设施、人才公寓、创新运营服务、宣传服务、搭建阿里云企业服务平台，助力企业AI应用等多方面服务）。</w:t>
      </w:r>
    </w:p>
    <w:p w14:paraId="50FD69B6">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Regular" w:hAnsi="Times New Roman Regular" w:eastAsia="仿宋_GB2312" w:cs="Times New Roman Regular"/>
          <w:b w:val="0"/>
          <w:bCs w:val="0"/>
          <w:sz w:val="32"/>
          <w:szCs w:val="32"/>
          <w:highlight w:val="none"/>
          <w:u w:val="none"/>
          <w:lang w:val="en-US" w:eastAsia="zh-CN"/>
        </w:rPr>
      </w:pPr>
      <w:r>
        <w:rPr>
          <w:rFonts w:hint="default" w:ascii="Times New Roman Regular" w:hAnsi="Times New Roman Regular" w:eastAsia="仿宋_GB2312" w:cs="Times New Roman Regular"/>
          <w:b w:val="0"/>
          <w:bCs w:val="0"/>
          <w:sz w:val="32"/>
          <w:szCs w:val="32"/>
          <w:highlight w:val="none"/>
          <w:u w:val="none"/>
          <w:lang w:val="en-US" w:eastAsia="zh-CN"/>
        </w:rPr>
        <w:t>2.西安高新区对落户项目提供与种子、天使、成长期风险投资基金股权融资对接服务，专业驻场律师事务所提供免费股权架构咨询服务；为企业发展资质体系公益培训服务；为企业提供科技型、创新中小企业认定、国家高新技术企业认定、陕西省专精特新中小企业认定等企业成长周期企业资质认定免费咨询服务。为企业提供国家、省、市、区科技、工信、发改等主管部门出台的技术攻关类、研发奖励类、应用示范类项目、科技金融及贷款贴息等各类政府项目申报提供咨询服务。</w:t>
      </w:r>
    </w:p>
    <w:p w14:paraId="5057176A">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jc w:val="left"/>
        <w:textAlignment w:val="auto"/>
        <w:outlineLvl w:val="9"/>
        <w:rPr>
          <w:rFonts w:hint="default" w:ascii="Times New Roman Regular" w:hAnsi="Times New Roman Regular" w:eastAsia="仿宋_GB2312" w:cs="Times New Roman Regular"/>
          <w:b w:val="0"/>
          <w:bCs w:val="0"/>
          <w:sz w:val="32"/>
          <w:szCs w:val="40"/>
          <w:lang w:val="en-US" w:eastAsia="zh-CN"/>
        </w:rPr>
      </w:pPr>
      <w:r>
        <w:rPr>
          <w:rFonts w:hint="default" w:ascii="Times New Roman Regular" w:hAnsi="Times New Roman Regular" w:eastAsia="仿宋_GB2312" w:cs="Times New Roman Regular"/>
          <w:b w:val="0"/>
          <w:bCs w:val="0"/>
          <w:sz w:val="32"/>
          <w:szCs w:val="32"/>
          <w:highlight w:val="none"/>
          <w:u w:val="none"/>
          <w:lang w:val="en-US" w:eastAsia="zh-CN"/>
        </w:rPr>
        <w:t>3.</w:t>
      </w:r>
      <w:r>
        <w:rPr>
          <w:rFonts w:hint="default" w:ascii="Times New Roman Regular" w:hAnsi="Times New Roman Regular" w:eastAsia="仿宋_GB2312" w:cs="Times New Roman Regular"/>
          <w:b w:val="0"/>
          <w:bCs w:val="0"/>
          <w:sz w:val="32"/>
          <w:szCs w:val="40"/>
          <w:lang w:val="en-US" w:eastAsia="zh-CN"/>
        </w:rPr>
        <w:t>依托西安高新区入驻龙头企业，为初创企业提供产业链上下游对接，下游市场拓展等咨询服务。邀请园区知名企业家作为创业企业导师，为初创项目提供企业管理咨询服务。零碳服务中心助力企业达到碳达峰、碳中和及ESG目标。</w:t>
      </w:r>
    </w:p>
    <w:p w14:paraId="1B8972FD">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jc w:val="left"/>
        <w:textAlignment w:val="auto"/>
        <w:outlineLvl w:val="9"/>
        <w:rPr>
          <w:rFonts w:hint="default" w:ascii="Times New Roman Regular" w:hAnsi="Times New Roman Regular" w:eastAsia="仿宋_GB2312" w:cs="Times New Roman Regular"/>
          <w:b w:val="0"/>
          <w:bCs w:val="0"/>
          <w:sz w:val="32"/>
          <w:szCs w:val="32"/>
          <w:lang w:val="en-US" w:eastAsia="zh-CN"/>
        </w:rPr>
      </w:pPr>
      <w:r>
        <w:rPr>
          <w:rFonts w:hint="default" w:ascii="Times New Roman Regular" w:hAnsi="Times New Roman Regular" w:eastAsia="仿宋_GB2312" w:cs="Times New Roman Regular"/>
          <w:b w:val="0"/>
          <w:bCs w:val="0"/>
          <w:sz w:val="32"/>
          <w:szCs w:val="32"/>
          <w:lang w:val="en-US" w:eastAsia="zh-CN"/>
        </w:rPr>
        <w:t>4.西安高新区为企业提供陕西省创新创业团队、西安市英才计划、高新区硬科技人才、科学家+工程师队伍建设等政策咨询服务，助力企业获取人才及团队奖励及项目支持。依托企业服务商战略合作伙伴，为企业提供软件著作权、发明专利快速申请、知识产权管理体系建设等知识产权服务。</w:t>
      </w:r>
    </w:p>
    <w:p w14:paraId="5A1809A3">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jc w:val="left"/>
        <w:textAlignment w:val="auto"/>
        <w:outlineLvl w:val="9"/>
        <w:rPr>
          <w:rFonts w:hint="default" w:ascii="Times New Roman Regular" w:hAnsi="Times New Roman Regular" w:eastAsia="仿宋_GB2312" w:cs="Times New Roman Regular"/>
          <w:b w:val="0"/>
          <w:bCs w:val="0"/>
          <w:sz w:val="32"/>
          <w:szCs w:val="32"/>
          <w:highlight w:val="none"/>
          <w:u w:val="none"/>
          <w:lang w:val="en-US" w:eastAsia="zh-CN"/>
        </w:rPr>
      </w:pPr>
      <w:r>
        <w:rPr>
          <w:rFonts w:hint="default" w:ascii="Times New Roman Regular" w:hAnsi="Times New Roman Regular" w:eastAsia="楷体" w:cs="Times New Roman Regular"/>
          <w:b w:val="0"/>
          <w:bCs w:val="0"/>
          <w:sz w:val="32"/>
          <w:szCs w:val="32"/>
          <w:highlight w:val="none"/>
          <w:u w:val="none"/>
          <w:lang w:val="en-US" w:eastAsia="zh-CN"/>
        </w:rPr>
        <w:t>（六）宣传展示。</w:t>
      </w:r>
      <w:r>
        <w:rPr>
          <w:rFonts w:hint="default" w:ascii="Times New Roman Regular" w:hAnsi="Times New Roman Regular" w:eastAsia="仿宋_GB2312" w:cs="Times New Roman Regular"/>
          <w:b w:val="0"/>
          <w:bCs w:val="0"/>
          <w:sz w:val="32"/>
          <w:szCs w:val="32"/>
          <w:highlight w:val="none"/>
          <w:u w:val="none"/>
          <w:lang w:val="en-US" w:eastAsia="zh-CN"/>
        </w:rPr>
        <w:t>通过中国创新创业大赛官网、大赛合作媒体渠道、大赛附属论坛、展览、培训等活动，对赛事进行宣传展示。</w:t>
      </w:r>
    </w:p>
    <w:p w14:paraId="320908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p>
    <w:p w14:paraId="10B63E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b w:val="0"/>
          <w:bCs w:val="0"/>
          <w:sz w:val="32"/>
          <w:szCs w:val="32"/>
          <w:lang w:val="en-US" w:eastAsia="zh-CN"/>
        </w:rPr>
      </w:pPr>
      <w:r>
        <w:rPr>
          <w:rFonts w:hint="default" w:ascii="Times New Roman Regular" w:hAnsi="Times New Roman Regular" w:eastAsia="仿宋_GB2312" w:cs="Times New Roman Regular"/>
          <w:b w:val="0"/>
          <w:bCs w:val="0"/>
          <w:sz w:val="32"/>
          <w:szCs w:val="32"/>
          <w:lang w:val="en-US" w:eastAsia="zh-CN"/>
        </w:rPr>
        <w:t>联系人：普天科创实业有限公司李老师010-87942750</w:t>
      </w:r>
    </w:p>
    <w:p w14:paraId="34B9C5CC">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default" w:ascii="Times New Roman Regular" w:hAnsi="Times New Roman Regular" w:eastAsia="黑体" w:cs="Times New Roman Regular"/>
          <w:b w:val="0"/>
          <w:bCs w:val="0"/>
          <w:sz w:val="32"/>
          <w:szCs w:val="32"/>
          <w:lang w:val="en-US" w:eastAsia="zh-CN"/>
        </w:rPr>
      </w:pPr>
      <w:r>
        <w:rPr>
          <w:rFonts w:hint="default" w:ascii="Times New Roman Regular" w:hAnsi="Times New Roman Regular" w:eastAsia="仿宋_GB2312" w:cs="Times New Roman Regular"/>
          <w:b w:val="0"/>
          <w:bCs w:val="0"/>
          <w:sz w:val="32"/>
          <w:szCs w:val="32"/>
          <w:lang w:val="en-US" w:eastAsia="zh-CN"/>
        </w:rPr>
        <w:t>西安高新区科技创新局王老师029-81132018</w:t>
      </w:r>
    </w:p>
    <w:p w14:paraId="76F24ABF">
      <w:pPr>
        <w:wordWrap w:val="0"/>
        <w:jc w:val="right"/>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603050405020304"/>
    <w:charset w:val="00"/>
    <w:family w:val="auto"/>
    <w:pitch w:val="default"/>
    <w:sig w:usb0="E0002AEF" w:usb1="C0007841"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EA3EE"/>
    <w:rsid w:val="16261746"/>
    <w:rsid w:val="1B9F55C1"/>
    <w:rsid w:val="5E265037"/>
    <w:rsid w:val="7D6EA3EE"/>
    <w:rsid w:val="FDE2C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2025-09-03T06:58:00Z</dcterms:created>
  <dc:creator>廖梓君</dc:creator>
  <cp:lastModifiedBy>廖梓君</cp:lastModifiedBy>
  <dcterms:modified xsi:type="dcterms:W3CDTF">2025-09-05T17:14:32Z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8DF0178C222FC2711197B668688CD277_43</vt:lpwstr>
  </property>
</Properties>
</file>